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Ответы</w:t>
      </w:r>
    </w:p>
    <w:p w:rsidR="00000000" w:rsidDel="00000000" w:rsidP="00000000" w:rsidRDefault="00000000" w:rsidRPr="00000000" w14:paraId="00000001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на вопросы потенциальных инвесторов ТОСЭР «Заречный»</w:t>
      </w:r>
    </w:p>
    <w:p w:rsidR="00000000" w:rsidDel="00000000" w:rsidP="00000000" w:rsidRDefault="00000000" w:rsidRPr="00000000" w14:paraId="00000002">
      <w:pPr>
        <w:spacing w:after="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по состоянию на 09.08.2018</w:t>
      </w:r>
    </w:p>
    <w:p w:rsidR="00000000" w:rsidDel="00000000" w:rsidP="00000000" w:rsidRDefault="00000000" w:rsidRPr="00000000" w14:paraId="00000003">
      <w:pPr>
        <w:spacing w:after="0" w:lineRule="auto"/>
        <w:ind w:left="426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720" w:right="0" w:hanging="720"/>
        <w:jc w:val="left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0632.0" w:type="dxa"/>
        <w:jc w:val="left"/>
        <w:tblInd w:w="-714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3007"/>
        <w:gridCol w:w="7625"/>
        <w:tblGridChange w:id="0">
          <w:tblGrid>
            <w:gridCol w:w="3007"/>
            <w:gridCol w:w="7625"/>
          </w:tblGrid>
        </w:tblGridChange>
      </w:tblGrid>
      <w:tr>
        <w:tc>
          <w:tcPr>
            <w:shd w:fill="auto" w:val="clear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Тема/Вопрос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Ответ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Общие организационные вопросы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какой момент должна состояться регистрация юридического лица резидента ТОСЭР?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Данный аспект регулируется статьей 13 Федерального закона от 29.12.2014 № 473-ФЗ (ред. от 31.12.2017) «О территориях опережающего социально-экономического развития»: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Статья 13. Порядок и основания приобретения и прекращения статуса резидента территории опережающего социально-экономического развития</w:t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 1. Индивидуальный предприниматель или юридическое лицо, намеревающиеся приобрести статус резидента территории опережающего социально-экономического развития или создать юридическое лицо на территории опережающего социально-экономического развития в целях приобретения статуса резидента такой территории и отвечающие установленным настоящим Федеральным законом требованиям к резидентам территории опережающего социально-экономического развития, подают в управляющую компанию заявку на заключение соглашения об осуществлении деятельности.</w:t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9. В случае принятия решения о возможности заключения соглашения об осуществлении деятельности управляющая компания уведомляет об этом заявителей, указанных в части 1 настоящей статьи, в течение десяти рабочих дней с даты принятия такого решения. Соглашение об осуществлении деятельности заключается с указанными лицами в случае, если местом жительства индивидуального предпринимателя, местом нахождения юридического лица является территория опережающего социально-экономического развития. В иных случаях соглашение об осуществлении деятельности заключается с юридическим лицом, созданным на территории опережающего социально-экономического развития лицом, подавшим заявку (то есть с вновь зарегистрированным на ТОСЭР юридическим лицом).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Особенности режима закрытого административно-территориального образования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Каков порядок въезда на территорию огороженного периметра ЗАТО впервые для осмотра площадок и объектов ТОСЭР?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Проехать и осмотреть объекты можно по предварительной договоренности. Необходимо будет оформить пропуск на въезд в охраняемый периметр города. Для этого - направить в наш адрес копии паспортов всех въезжающих (основной разворот и разворот с действующей регистрацией), а так же список по форме в приложении.</w:t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Визит желательно спланировать заранее, так как срок первичной проверки Федеральной службой безопасности может доходить до 2-х месяцев. Если первичная проверка проведена, оформление занимает не более недели.</w:t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Въезжающие должны быть несудимыми гражданами Российской Федерации.</w:t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После получения информации от СБ мы свяжемся с вами, что бы согласовать точную дату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Особая таможенная зона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Какими нормами регулируется вопрос создания и функционирования свободной таможенной зоны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7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Федеральным законом 473-ФЗ определяется применение на территориях опережающего социально-экономического развития таможенной процедуры свободной таможенной зоны, установленной таможенным законодательством Таможенного союза. Для целей применения таможенной процедуры свободной таможенной зоны на территории опережающего социально-экономического развития такая территория приравнивается к особой экономической зоне, определенной в соответствии с Соглашением по вопросам свободных (специальных, особых) экономических зон на таможенной территории Таможенного союза и таможенной процедуры свободной таможенной зоны от 18 июня 2010 года (далее - Соглашение о свободных экономических зонах).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16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1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Таможенный кодекс Евразийского экономического союза (ТК ЕАЭС), п.1 ст. 201: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Таможенная процедура свободной таможенной зоны (СЭЗ) - таможенная процедура, применяемая в отношении иностранных товаров и товаров Евразийского экономического союза, в соответствии с которой такие товары размещаются и используются в пределах территории СЭЗ или ее части без уплаты таможенных пошлин, налогов, специальных, антидемпинговых, компенсационных пошлин при соблюдении условий помещения товаров под эту таможенную процедуру и их использования в соответствии с такой таможенной процедурой;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16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Для целей применения таможенной процедуры свободной таможенной зоны ТОСЭР такая территория приравнивается к особой экономической зоне (ч.4 ст.25 473-ФЗ); 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16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Понятия свободная (специальная, особая) экономическая зона (далее - СЭЗ), логистическая СЭЗ, портовая СЭЗ и резидент (участник, субъект) СЭЗ используются в значениях, определенных международными договорами в рамках ЕАЭС (пп.1. п.2 ст.2 ТК ЕАЭС). Имеется Соглашение по вопросам свободных (специальных, особых) экономических зон на таможенной территории Таможенного союза и таможенной процедуры свободной таможенной зоны (Заключено в г. Санкт-Петербурге 18.06.2010) (ред. от 11.04.2017).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16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Подробно о СЭЗ также – глава 27 ТК ЕАЭС Таможенная процедура свободной таможенной зоны, переходные положения – ст. 454, ст. 455 ТК ЕАЭС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Кем и в каком порядке принимается решение о создании зоны таможенного контроля на участке территории опережающего социально-экономического развития для целей применения таможенной процедуры свободной таможенной зоны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716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Решение о создании зоны таможенного контроля на участке территории опережающего социально-экономического развития для целей применения таможенной процедуры свободной таможенной зоны принимается таможенным органом на основании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single"/>
                <w:shd w:fill="auto" w:val="clear"/>
                <w:vertAlign w:val="baseline"/>
                <w:rtl w:val="0"/>
              </w:rPr>
              <w:t xml:space="preserve">заявления резидента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территории опережающего социально-экономического развития, составленного в произвольной письменной форме, в порядке, установленном частями 13 и 14 статьи 163 Федерального закона от 27 ноября 2010 года N 311-ФЗ О таможенном регулировании в Российской Федерации, и при условии оборудования и обустройства участка территории опережающего социально-экономического развития для целей таможенного контроля.</w:t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43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Федеральный закон от 27.11.2010 № 311-ФЗ О таможенном регулировании в Российской Федерации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43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Статья 163. Зоны таможенного контроля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43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13. Решения о создании зон таможенного контроля в иных местах принимает начальник таможни, в регионе деятельности которой расположены места и территории, где создаются такие зоны таможенного контроля.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43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14. Решение о создании зоны таможенного контроля, предусмотренное частью 13 настоящей статьи, оформляется приказом начальника таможни, в котором должны быть указаны: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43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1) место нахождения зоны таможенного контроля;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43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2) граница зоны таможенного контроля и места ее пересечения лицами, товарами и транспортными средствами;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43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3) средства, используемые для обозначения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Каковы требования к оборудованию и обустройству участка территории опережающего социально-экономического развития для целей таможенного контроля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43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Требования к оборудованию и обустройству участка территории опережающего социально-экономического развития для целей таможенного контроля определяются федеральным органом исполнительной власти, уполномоченным в области таможенного дела, по согласованию с уполномоченным федеральным органом.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432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Приказ ФТС России от 13.10.2015 № 2034 Об определении Требований к оборудованию и обустройству участка территории опережающего социально-экономического развития для целей таможенного контроля предусматривает три варианта оборудования: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432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Помещение в здании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432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Отдельное здание</w:t>
            </w:r>
          </w:p>
          <w:p w:rsidR="00000000" w:rsidDel="00000000" w:rsidP="00000000" w:rsidRDefault="00000000" w:rsidRPr="00000000" w14:paraId="0000003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432"/>
              <w:jc w:val="both"/>
              <w:rPr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Земельный участок</w:t>
            </w:r>
          </w:p>
        </w:tc>
      </w:tr>
      <w:tr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Каков порядок проведения идентификации иностранных товаров, помещаемых или помещенных под таможенную процедуру свободной таможенной зоны, в товарах, изготовленных (полученных) с использованием иностранных товаров, помещенных под таможенную процедуру свободной таможенной зоны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7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Порядок проведения идентификации иностранных товаров, помещаемых или помещенных под таможенную процедуру свободной таможенной зоны, в товарах, изготовленных (полученных) с использованием иностранных товаров, помещенных под таможенную процедуру свободной таможенной зоны, устанавливается федеральным органом исполнительной власти, уполномоченным в области таможенного дела.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57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Приказ Минфина России от 10.03.2016 № 22н Об утверждении Порядка проведения таможенными органами идентификации иностранных товаров, помещаемых (помещенных) под таможенную процедуру свободной таможенной зоны, в товарах, изготовленных (полученных) с использованием иностранных товаров, помещенных под таможенную процедуру свободной таможенной зоны</w:t>
            </w:r>
          </w:p>
        </w:tc>
      </w:tr>
      <w:tr>
        <w:trPr>
          <w:trHeight w:val="532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5. Каковы особенности ведения учета товаров, помещенных под таможенную процедуру свободной таможенной зоны, и товаров, изготовленных (полученных) с использованием иностранных товаров, помещенных под таможенную процедуру свободной таможенной зоны, и представление в таможенный орган отчетности о таких товарах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8">
            <w:pPr>
              <w:spacing w:after="0" w:line="240" w:lineRule="auto"/>
              <w:ind w:firstLine="574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Резиденты территории опережающего социально-экономического развития обязаны вести учет товаров, помещенных под таможенную процедуру свободной таможенной зоны, и товаров, изготовленных (полученных) с использованием иностранных товаров, помещенных под таможенную процедуру свободной таможенной зоны, и представлять в таможенный орган отчетность о таких товарах.</w:t>
            </w:r>
          </w:p>
          <w:p w:rsidR="00000000" w:rsidDel="00000000" w:rsidP="00000000" w:rsidRDefault="00000000" w:rsidRPr="00000000" w14:paraId="00000039">
            <w:pPr>
              <w:spacing w:after="0" w:line="240" w:lineRule="auto"/>
              <w:ind w:firstLine="574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Приказ ФТС России от 09.06.2015 № 1116 Об установлении порядка ведения учета товаров, помещенных под таможенную процедуру свободной таможенной зоны, применяемую на участках территорий опережающего социально-экономического развития, и товаров, изготовленных (полученных) с использованием иностранных товаров, помещенных под таможенную процедуру свободной таможенной зоны, применяемую на участках территорий опережающего социально-экономического развития, форм отчетности о таких товарах, порядка заполнения этих форм и порядка и сроков представления в таможенный орган отчетности о таких товарах</w:t>
            </w:r>
          </w:p>
          <w:p w:rsidR="00000000" w:rsidDel="00000000" w:rsidP="00000000" w:rsidRDefault="00000000" w:rsidRPr="00000000" w14:paraId="0000003A">
            <w:pPr>
              <w:spacing w:after="0" w:line="240" w:lineRule="auto"/>
              <w:ind w:firstLine="574"/>
              <w:jc w:val="both"/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color w:val="000000"/>
                <w:sz w:val="24"/>
                <w:szCs w:val="24"/>
                <w:rtl w:val="0"/>
              </w:rPr>
              <w:t xml:space="preserve">Порядок ведения учета товаров, помещенных под таможенную процедуру свободной таможенной зоны, и товаров, изготовленных (полученных) с использованием иностранных товаров, помещенных под таможенную процедуру свободной таможенной зоны, формы отчетности о таких товарах, порядок заполнения этих форм, порядок и сроки представления в таможенный орган отчетности о таких товарах устанавливаются федеральным органом исполнительной власти, уполномоченным в области таможенного дела</w:t>
            </w:r>
          </w:p>
        </w:tc>
      </w:tr>
      <w:tr>
        <w:trPr>
          <w:trHeight w:val="20" w:hRule="atLeast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72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Имущественные отношения</w:t>
            </w:r>
          </w:p>
        </w:tc>
      </w:tr>
      <w:tr>
        <w:trPr>
          <w:trHeight w:val="2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Каковы особенности оформления имущественных отношений резидентами ТОСЭР?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57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Законодательством о ТОСЭР не установлены какие-то специфические особенности по сравнению с общеустановленным порядком в оформлении имущественных отношений между УК ТОСЭР и резидентами, вкладывающими средства в объекты инфраструктуры ТОСЭР</w:t>
            </w:r>
          </w:p>
        </w:tc>
      </w:tr>
      <w:tr>
        <w:trPr>
          <w:trHeight w:val="2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Каковы особенности оформления права собственности и аренды на объекты капитального строительства резидентами ТОСЭР?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57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Общие положения законодательства в части права собственности: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57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1) при реконструкции право собственности не возникает (поскольку возникает не новый объект, а улучшаются технико-экономические показатели существующего*). 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57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* п.1 ст.14 ГрК РФ, п.3.4 постановления Госстроя России от 05.03.2004 № 15/1, п. 27 ПБУ 6/01 Учет основных средств, совместное письмо Госплана СССР, Госстроя СССР, Стройбанка СССР, ЦСФУ СССР от 08.05.1984 № НБ-36-Д/23-Д/144/6-14, письмо Минфина СССР от 29.05.1984 № 80 и др.;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57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2) при осуществлении строительства – право собственности возникает (в порядке, установленном законодательством).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57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Применительно к ТОСЭР при аренде –  методика расчета арендной платы по договорам аренды недвижимого имущества, расположенного на территории опережающего социально-экономического развития, установлена приказом Минэкономразвития России от 17.03.2017 № 116</w:t>
            </w:r>
          </w:p>
        </w:tc>
      </w:tr>
      <w:tr>
        <w:trPr>
          <w:trHeight w:val="2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3. Каковы особенности оформления права земельные участки резидентами ТОСЭР?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Общие положения в части прав на земельный участок, находящийся в собственности / аренде УК: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1) оформление земельного участка под построенным объектом – возможно в установленном законом порядке при согласии собственника и если земельный участок не ограничен в обороте;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2) пользование земельным участком под арендованным или построенным объектом – осуществляется в установленном порядке в различных возможных ситуациях: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по договору аренды здания или сооружения арендатору одновременно с передачей прав владения и пользования такой недвижимостью передаются права на земельный участок, который занят такой недвижимостью и необходим для ее использования (ст.652 ГК РФ);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собственник здания, сооружения или иной недвижимости, находящейся на земельном участке, принадлежащем другому лицу, имеет право пользования предоставленным таким лицом под эту недвижимость земельным участком (ст.271 ГК РФ);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при переходе права собственности на здание, сооружение, находящиеся на чужом земельном участке, к другому лицу оно приобретает право на использование соответствующей части земельного участка, занятой зданием, сооружением и необходимой для их использования, на тех же условиях и в том же объеме, что и прежний их собственник (ст. 35 ЗК РФ)</w:t>
            </w:r>
          </w:p>
        </w:tc>
      </w:tr>
      <w:tr>
        <w:trPr>
          <w:trHeight w:val="2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4. Какова  методика расчета арендной платы по договорам аренды земельных участков на территории ТОСЭР?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Применительно к ТОСЭР при аренде –  методика расчета арендной платы по договорам аренды земельных участков, расположенных на территории опережающего социально-экономического развития, установлена приказом Минэкономразвития России от 17.03.2017 № 116.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36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Резидент осуществляет реконструкцию имеющегося здания и решает вопрос компенсации с собственником или относит на затраты в инвестиционный проект;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36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Резидент строит здание и оформляет на него право собственности, затраты учитываются в бизнес-плане проекта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36" w:right="0" w:hanging="36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Резидент сам прокладывает сети. Вопрос сетей решается в индивидуальном порядке при получении технических условий</w:t>
            </w:r>
          </w:p>
          <w:p w:rsidR="00000000" w:rsidDel="00000000" w:rsidP="00000000" w:rsidRDefault="00000000" w:rsidRPr="00000000" w14:paraId="0000005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436" w:right="0" w:hanging="72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Gungsuh" w:cs="Gungsuh" w:eastAsia="Gungsuh" w:hAnsi="Gungsuh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(на аренду площадей Приборной площадки  ≈ 15 рублей за 1 кв. м. в месяц с учетом Методических рекомендаций)</w:t>
            </w:r>
          </w:p>
        </w:tc>
      </w:tr>
      <w:tr>
        <w:trPr>
          <w:trHeight w:val="20" w:hRule="atLeast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34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Коммунальная инфраструктура</w:t>
            </w:r>
          </w:p>
        </w:tc>
      </w:tr>
      <w:tr>
        <w:trPr>
          <w:trHeight w:val="2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Каковы условия подключения к инженерным коммуникациям на Территории ТОСЭР?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57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Информацию о возможностях, существующих точках подключения и тарифах можно узнать в ресурсоснабжающих компаниях города Заречного, (по нижеприведенным ссылкам), в частности по технологическому присоединению к: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57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электрическим сетям,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57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МП «Горэлектросеть» город Заречный,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57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6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http://geszar.ru/podacha-zayavok-i-dokumentov-v-elektronnoj-forme/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57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сетям газораспределения,</w:t>
            </w:r>
          </w:p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574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АО «Горгаз» город Заречный,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57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http://aogorgaz.ru/tekhnologicheskoe-prisoedinenie/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57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- системам теплоснабжения, водоснабжения и водоотведения,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57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ООО «ЭнергоПромРесурс»,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574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Times New Roman" w:cs="Times New Roman" w:eastAsia="Times New Roman" w:hAnsi="Times New Roman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http://epr-zar.ru/organizations/information-on-connecting/</w:t>
              </w:r>
            </w:hyperlink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20" w:hRule="atLeast"/>
        </w:trPr>
        <w:tc>
          <w:tcPr>
            <w:gridSpan w:val="2"/>
            <w:shd w:fill="auto" w:val="clear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hanging="720"/>
              <w:jc w:val="both"/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bookmarkStart w:colFirst="0" w:colLast="0" w:name="_gjdgxs" w:id="0"/>
            <w:bookmarkEnd w:id="0"/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Информация о площадках</w:t>
            </w:r>
          </w:p>
        </w:tc>
      </w:tr>
      <w:tr>
        <w:trPr>
          <w:trHeight w:val="2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1. Предприятия какого класса опасности можно размещать на площадках ТОСЭР «Заречный»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57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 соответствие с Правилами землепользования и застройки, действующими на территории Заречного площадки №№1, 2, 4 зона производственных предприятий специального назначения ПК-4, на которых допустимо размещать предприятия любого класса (I-V).</w:t>
            </w:r>
          </w:p>
        </w:tc>
      </w:tr>
      <w:tr>
        <w:trPr>
          <w:trHeight w:val="20" w:hRule="atLeast"/>
        </w:trPr>
        <w:tc>
          <w:tcPr>
            <w:shd w:fill="auto" w:val="clear"/>
          </w:tcPr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 Площадка №1, здание №212: каковы доступные мощности по электроэнергии и газу? Как обеспечивается отопление?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57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Здание №212 на площадке №1 обеспечена: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57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электроэнергией до 0,5 мВа (в перспективе необходима замена внешнего кабеля ~1,5 км, проектная документация имеется);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57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 отопление обеспечено от котельной ПО «Старт»;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57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– коммуникации, обеспечивающие подачу газа для производственных нужд, отсутствуют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574"/>
              <w:jc w:val="both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6A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Times New Roman" w:cs="Times New Roman" w:eastAsia="Times New Roman" w:hAnsi="Times New Roman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footerReference r:id="rId9" w:type="default"/>
      <w:pgSz w:h="16838" w:w="11906"/>
      <w:pgMar w:bottom="567" w:top="851" w:left="1418" w:right="567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Times New Roman"/>
  <w:font w:name="Gungsuh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6C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677"/>
        <w:tab w:val="right" w:pos="935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3"/>
      <w:numFmt w:val="bullet"/>
      <w:lvlText w:val="-"/>
      <w:lvlJc w:val="left"/>
      <w:pPr>
        <w:ind w:left="644" w:hanging="359.99999999999994"/>
      </w:pPr>
      <w:rPr>
        <w:rFonts w:ascii="Times New Roman" w:cs="Times New Roman" w:eastAsia="Times New Roman" w:hAnsi="Times New Roman"/>
      </w:rPr>
    </w:lvl>
    <w:lvl w:ilvl="1">
      <w:start w:val="1"/>
      <w:numFmt w:val="bullet"/>
      <w:lvlText w:val="o"/>
      <w:lvlJc w:val="left"/>
      <w:pPr>
        <w:ind w:left="1364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084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04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24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244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964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684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04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decimal"/>
      <w:lvlText w:val="%1."/>
      <w:lvlJc w:val="left"/>
      <w:pPr>
        <w:ind w:left="786" w:hanging="360.00000000000006"/>
      </w:pPr>
      <w:rPr/>
    </w:lvl>
    <w:lvl w:ilvl="1">
      <w:start w:val="1"/>
      <w:numFmt w:val="lowerLetter"/>
      <w:lvlText w:val="%2."/>
      <w:lvlJc w:val="left"/>
      <w:pPr>
        <w:ind w:left="1866" w:hanging="360"/>
      </w:pPr>
      <w:rPr/>
    </w:lvl>
    <w:lvl w:ilvl="2">
      <w:start w:val="1"/>
      <w:numFmt w:val="lowerRoman"/>
      <w:lvlText w:val="%3."/>
      <w:lvlJc w:val="right"/>
      <w:pPr>
        <w:ind w:left="2586" w:hanging="180"/>
      </w:pPr>
      <w:rPr/>
    </w:lvl>
    <w:lvl w:ilvl="3">
      <w:start w:val="1"/>
      <w:numFmt w:val="decimal"/>
      <w:lvlText w:val="%4."/>
      <w:lvlJc w:val="left"/>
      <w:pPr>
        <w:ind w:left="3306" w:hanging="360"/>
      </w:pPr>
      <w:rPr/>
    </w:lvl>
    <w:lvl w:ilvl="4">
      <w:start w:val="1"/>
      <w:numFmt w:val="lowerLetter"/>
      <w:lvlText w:val="%5."/>
      <w:lvlJc w:val="left"/>
      <w:pPr>
        <w:ind w:left="4026" w:hanging="360"/>
      </w:pPr>
      <w:rPr/>
    </w:lvl>
    <w:lvl w:ilvl="5">
      <w:start w:val="1"/>
      <w:numFmt w:val="lowerRoman"/>
      <w:lvlText w:val="%6."/>
      <w:lvlJc w:val="right"/>
      <w:pPr>
        <w:ind w:left="4746" w:hanging="180"/>
      </w:pPr>
      <w:rPr/>
    </w:lvl>
    <w:lvl w:ilvl="6">
      <w:start w:val="1"/>
      <w:numFmt w:val="decimal"/>
      <w:lvlText w:val="%7."/>
      <w:lvlJc w:val="left"/>
      <w:pPr>
        <w:ind w:left="5466" w:hanging="360"/>
      </w:pPr>
      <w:rPr/>
    </w:lvl>
    <w:lvl w:ilvl="7">
      <w:start w:val="1"/>
      <w:numFmt w:val="lowerLetter"/>
      <w:lvlText w:val="%8."/>
      <w:lvlJc w:val="left"/>
      <w:pPr>
        <w:ind w:left="6186" w:hanging="360"/>
      </w:pPr>
      <w:rPr/>
    </w:lvl>
    <w:lvl w:ilvl="8">
      <w:start w:val="1"/>
      <w:numFmt w:val="lowerRoman"/>
      <w:lvlText w:val="%9."/>
      <w:lvlJc w:val="right"/>
      <w:pPr>
        <w:ind w:left="6906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ru-RU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yperlink" Target="http://geszar.ru/podacha-zayavok-i-dokumentov-v-elektronnoj-forme/" TargetMode="External"/><Relationship Id="rId7" Type="http://schemas.openxmlformats.org/officeDocument/2006/relationships/hyperlink" Target="http://aogorgaz.ru/tekhnologicheskoe-prisoedinenie/" TargetMode="External"/><Relationship Id="rId8" Type="http://schemas.openxmlformats.org/officeDocument/2006/relationships/hyperlink" Target="http://epr-zar.ru/organizations/information-on-connectin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